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9D" w:rsidRPr="008D1ED3" w:rsidRDefault="00896F27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ED3">
        <w:rPr>
          <w:rFonts w:ascii="Times New Roman" w:hAnsi="Times New Roman" w:cs="Times New Roman"/>
          <w:b/>
          <w:sz w:val="24"/>
          <w:szCs w:val="24"/>
        </w:rPr>
        <w:t>СОГЛАШЕНИЕ О КОНФИДЕНЦИАЛЬНОСТИ</w:t>
      </w:r>
    </w:p>
    <w:p w:rsidR="0011480B" w:rsidRDefault="0011480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:rsidR="0011480B" w:rsidRPr="0011480B" w:rsidRDefault="0011480B" w:rsidP="0011480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17977746"/>
          <w:placeholder>
            <w:docPart w:val="CE45893128E44B2CA8A8C625CA91FDA9"/>
          </w:placeholder>
          <w15:color w:val="800080"/>
        </w:sdtPr>
        <w:sdtContent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>Автономная некоммерческая организация «Центр содействия изучению международного опыта управления и организации производства «</w:t>
          </w:r>
          <w:proofErr w:type="spellStart"/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>Кайдзэн</w:t>
          </w:r>
          <w:proofErr w:type="spellEnd"/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 xml:space="preserve">» </w:t>
          </w:r>
          <w:r w:rsidRPr="0011480B">
            <w:rPr>
              <w:rFonts w:ascii="Times New Roman" w:hAnsi="Times New Roman" w:cs="Times New Roman"/>
              <w:sz w:val="24"/>
              <w:szCs w:val="24"/>
            </w:rPr>
            <w:t>(сокращенное</w:t>
          </w:r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11480B">
            <w:rPr>
              <w:rFonts w:ascii="Times New Roman" w:hAnsi="Times New Roman" w:cs="Times New Roman"/>
              <w:sz w:val="24"/>
              <w:szCs w:val="24"/>
            </w:rPr>
            <w:t xml:space="preserve">название </w:t>
          </w:r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>АНО «Центр «</w:t>
          </w:r>
          <w:proofErr w:type="spellStart"/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>Кайдзэн</w:t>
          </w:r>
          <w:proofErr w:type="spellEnd"/>
          <w:r w:rsidRPr="0011480B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  <w:r w:rsidRPr="0011480B">
            <w:rPr>
              <w:rFonts w:ascii="Times New Roman" w:hAnsi="Times New Roman" w:cs="Times New Roman"/>
              <w:sz w:val="24"/>
              <w:szCs w:val="24"/>
            </w:rPr>
            <w:t xml:space="preserve">) в лице Директора Суханова Алексея Геннадьевича </w:t>
          </w:r>
          <w:r w:rsidRPr="0011480B">
            <w:rPr>
              <w:rFonts w:ascii="Times New Roman" w:eastAsia="Times New Roman" w:hAnsi="Times New Roman" w:cs="Times New Roman"/>
              <w:sz w:val="24"/>
              <w:szCs w:val="24"/>
            </w:rPr>
            <w:t>именуемое в дальнейшем</w:t>
          </w:r>
        </w:sdtContent>
      </w:sdt>
      <w:r w:rsidRPr="0011480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1480B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Принимающая сторона</w:t>
      </w:r>
      <w:r w:rsidRPr="0011480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11480B">
        <w:rPr>
          <w:rFonts w:ascii="Times New Roman" w:hAnsi="Times New Roman" w:cs="Times New Roman"/>
          <w:sz w:val="24"/>
          <w:szCs w:val="24"/>
        </w:rPr>
        <w:t>действующего на основании Устава</w:t>
      </w:r>
      <w:r w:rsidRPr="0011480B">
        <w:rPr>
          <w:rFonts w:ascii="Times New Roman" w:eastAsia="Calibri" w:hAnsi="Times New Roman" w:cs="Times New Roman"/>
          <w:sz w:val="24"/>
          <w:szCs w:val="24"/>
        </w:rPr>
        <w:t>,</w:t>
      </w:r>
      <w:r w:rsidRPr="0011480B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 и _______________________, именуемый(</w:t>
      </w:r>
      <w:proofErr w:type="spellStart"/>
      <w:r w:rsidRPr="0011480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1480B">
        <w:rPr>
          <w:rFonts w:ascii="Times New Roman" w:eastAsia="Times New Roman" w:hAnsi="Times New Roman" w:cs="Times New Roman"/>
          <w:sz w:val="24"/>
          <w:szCs w:val="24"/>
        </w:rPr>
        <w:t>) в дальнейшем «</w:t>
      </w:r>
      <w:r w:rsidRPr="0011480B">
        <w:rPr>
          <w:rFonts w:ascii="Times New Roman" w:eastAsia="Times New Roman" w:hAnsi="Times New Roman" w:cs="Times New Roman"/>
          <w:b/>
          <w:sz w:val="24"/>
          <w:szCs w:val="24"/>
        </w:rPr>
        <w:t>Раскрывающая сторона</w:t>
      </w:r>
      <w:r w:rsidRPr="0011480B">
        <w:rPr>
          <w:rFonts w:ascii="Times New Roman" w:eastAsia="Times New Roman" w:hAnsi="Times New Roman" w:cs="Times New Roman"/>
          <w:sz w:val="24"/>
          <w:szCs w:val="24"/>
        </w:rPr>
        <w:t xml:space="preserve">», действующая на </w:t>
      </w:r>
      <w:proofErr w:type="spellStart"/>
      <w:r w:rsidRPr="0011480B">
        <w:rPr>
          <w:rFonts w:ascii="Times New Roman" w:eastAsia="Times New Roman" w:hAnsi="Times New Roman" w:cs="Times New Roman"/>
          <w:sz w:val="24"/>
          <w:szCs w:val="24"/>
        </w:rPr>
        <w:t>основании____________________с</w:t>
      </w:r>
      <w:proofErr w:type="spellEnd"/>
      <w:r w:rsidRPr="0011480B">
        <w:rPr>
          <w:rFonts w:ascii="Times New Roman" w:eastAsia="Times New Roman" w:hAnsi="Times New Roman" w:cs="Times New Roman"/>
          <w:sz w:val="24"/>
          <w:szCs w:val="24"/>
        </w:rPr>
        <w:t xml:space="preserve"> другой стороны, заключили настоящее соглашение о </w:t>
      </w:r>
      <w:r w:rsidRPr="0011480B">
        <w:rPr>
          <w:rFonts w:ascii="Times New Roman" w:eastAsia="Times New Roman" w:hAnsi="Times New Roman" w:cs="Times New Roman"/>
          <w:sz w:val="24"/>
          <w:szCs w:val="24"/>
        </w:rPr>
        <w:t>нижесле</w:t>
      </w:r>
      <w:r w:rsidRPr="0011480B">
        <w:rPr>
          <w:rFonts w:ascii="Times New Roman" w:eastAsia="Times New Roman" w:hAnsi="Times New Roman" w:cs="Times New Roman"/>
          <w:sz w:val="24"/>
          <w:szCs w:val="24"/>
        </w:rPr>
        <w:t xml:space="preserve">дующем: </w:t>
      </w:r>
    </w:p>
    <w:p w:rsidR="0011480B" w:rsidRPr="0011480B" w:rsidRDefault="0011480B" w:rsidP="0011480B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numPr>
          <w:ilvl w:val="0"/>
          <w:numId w:val="2"/>
        </w:numPr>
        <w:spacing w:after="20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ТЕРМИНЫ</w:t>
      </w:r>
    </w:p>
    <w:p w:rsidR="00783F9D" w:rsidRPr="0011480B" w:rsidRDefault="00896F27" w:rsidP="0011480B">
      <w:pPr>
        <w:numPr>
          <w:ilvl w:val="0"/>
          <w:numId w:val="1"/>
        </w:numPr>
        <w:spacing w:after="200" w:line="240" w:lineRule="auto"/>
        <w:ind w:left="566" w:hanging="5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 xml:space="preserve">Конфиденциальная информация </w:t>
      </w:r>
      <w:r w:rsidRPr="0011480B">
        <w:rPr>
          <w:rFonts w:ascii="Times New Roman" w:hAnsi="Times New Roman" w:cs="Times New Roman"/>
          <w:sz w:val="24"/>
          <w:szCs w:val="24"/>
        </w:rPr>
        <w:t xml:space="preserve">— </w:t>
      </w:r>
      <w:r w:rsidRPr="0011480B">
        <w:rPr>
          <w:rFonts w:ascii="Times New Roman" w:hAnsi="Times New Roman" w:cs="Times New Roman"/>
          <w:sz w:val="24"/>
          <w:szCs w:val="24"/>
          <w:highlight w:val="yellow"/>
        </w:rPr>
        <w:t>[указать перечень охраняемой информации, в том числе перечень информации, составляющей коммерческую тайну].</w:t>
      </w:r>
    </w:p>
    <w:p w:rsidR="00783F9D" w:rsidRPr="0011480B" w:rsidRDefault="00896F27" w:rsidP="0011480B">
      <w:pPr>
        <w:numPr>
          <w:ilvl w:val="1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1480B">
        <w:rPr>
          <w:rFonts w:ascii="Times New Roman" w:hAnsi="Times New Roman" w:cs="Times New Roman"/>
          <w:sz w:val="24"/>
          <w:szCs w:val="24"/>
          <w:highlight w:val="yellow"/>
        </w:rPr>
        <w:t>_________</w:t>
      </w:r>
    </w:p>
    <w:p w:rsidR="00783F9D" w:rsidRPr="0011480B" w:rsidRDefault="00896F27" w:rsidP="0011480B">
      <w:pPr>
        <w:numPr>
          <w:ilvl w:val="1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1480B">
        <w:rPr>
          <w:rFonts w:ascii="Times New Roman" w:hAnsi="Times New Roman" w:cs="Times New Roman"/>
          <w:sz w:val="24"/>
          <w:szCs w:val="24"/>
          <w:highlight w:val="yellow"/>
        </w:rPr>
        <w:t>_________</w:t>
      </w:r>
    </w:p>
    <w:p w:rsidR="00783F9D" w:rsidRPr="0011480B" w:rsidRDefault="00896F27" w:rsidP="0011480B">
      <w:pPr>
        <w:numPr>
          <w:ilvl w:val="1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1480B">
        <w:rPr>
          <w:rFonts w:ascii="Times New Roman" w:hAnsi="Times New Roman" w:cs="Times New Roman"/>
          <w:sz w:val="24"/>
          <w:szCs w:val="24"/>
          <w:highlight w:val="yellow"/>
        </w:rPr>
        <w:t>_________</w:t>
      </w:r>
    </w:p>
    <w:p w:rsidR="00783F9D" w:rsidRPr="0011480B" w:rsidRDefault="00896F27" w:rsidP="00114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 xml:space="preserve">Цели использования информации </w:t>
      </w:r>
      <w:r w:rsidRPr="0011480B">
        <w:rPr>
          <w:rFonts w:ascii="Times New Roman" w:hAnsi="Times New Roman" w:cs="Times New Roman"/>
          <w:sz w:val="24"/>
          <w:szCs w:val="24"/>
        </w:rPr>
        <w:t>—</w:t>
      </w:r>
      <w:r w:rsidRPr="00114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80B">
        <w:rPr>
          <w:rFonts w:ascii="Times New Roman" w:hAnsi="Times New Roman" w:cs="Times New Roman"/>
          <w:sz w:val="24"/>
          <w:szCs w:val="24"/>
          <w:highlight w:val="yellow"/>
        </w:rPr>
        <w:t>[указать конкретный перечень целей].</w:t>
      </w:r>
    </w:p>
    <w:p w:rsidR="00783F9D" w:rsidRPr="0011480B" w:rsidRDefault="00896F27" w:rsidP="00114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 xml:space="preserve">Разглашение информации </w:t>
      </w:r>
      <w:r w:rsidRPr="0011480B">
        <w:rPr>
          <w:rFonts w:ascii="Times New Roman" w:hAnsi="Times New Roman" w:cs="Times New Roman"/>
          <w:sz w:val="24"/>
          <w:szCs w:val="24"/>
        </w:rPr>
        <w:t>—</w:t>
      </w:r>
      <w:r w:rsidRPr="00114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80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действие или бездействие Принимающей стороны или Сотрудника, обладающего доступом к конфиденциальной информации, в результате которых она становится известной третьим лицам, в том числе работникам Принимающей стороны, не обладающих доступом к Конфиденциальной информации, без согласия Раскрывающей стороны либо вопреки трудовому или гражданско-правовому договору.</w:t>
      </w:r>
    </w:p>
    <w:p w:rsidR="00783F9D" w:rsidRPr="0011480B" w:rsidRDefault="00896F27" w:rsidP="00114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5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 xml:space="preserve">Передача информации </w:t>
      </w:r>
      <w:r w:rsidRPr="0011480B">
        <w:rPr>
          <w:rFonts w:ascii="Times New Roman" w:hAnsi="Times New Roman" w:cs="Times New Roman"/>
          <w:sz w:val="24"/>
          <w:szCs w:val="24"/>
        </w:rPr>
        <w:t xml:space="preserve">— </w:t>
      </w:r>
      <w:r w:rsidRPr="0011480B">
        <w:rPr>
          <w:rFonts w:ascii="Times New Roman" w:hAnsi="Times New Roman" w:cs="Times New Roman"/>
          <w:sz w:val="24"/>
          <w:szCs w:val="24"/>
          <w:highlight w:val="yellow"/>
        </w:rPr>
        <w:t>[указать конкретный способ передачи информации, перечень лиц, уполномоченных на предоставление информации, их контактные данные].</w:t>
      </w:r>
    </w:p>
    <w:p w:rsidR="00783F9D" w:rsidRPr="0011480B" w:rsidRDefault="00896F27" w:rsidP="00114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5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 xml:space="preserve">Уничтожение информации </w:t>
      </w:r>
      <w:r w:rsidRPr="0011480B">
        <w:rPr>
          <w:rFonts w:ascii="Times New Roman" w:hAnsi="Times New Roman" w:cs="Times New Roman"/>
          <w:sz w:val="24"/>
          <w:szCs w:val="24"/>
        </w:rPr>
        <w:t>—</w:t>
      </w:r>
      <w:r w:rsidRPr="00114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80B">
        <w:rPr>
          <w:rFonts w:ascii="Times New Roman" w:hAnsi="Times New Roman" w:cs="Times New Roman"/>
          <w:sz w:val="24"/>
          <w:szCs w:val="24"/>
        </w:rPr>
        <w:t>действия Принимающая стороны по уничтожению физических носителей с Конфиденциальной информацией, удаление Конфиденциальной информации с электронных носителей, ЭВМ, используемых для передачи данных, электронной почты, мессенджеров, а также иные действия, направленные на устранение дальнейшего распространения или использования Конфиденциальной информации.</w:t>
      </w:r>
    </w:p>
    <w:p w:rsidR="00783F9D" w:rsidRPr="0011480B" w:rsidRDefault="00896F27" w:rsidP="00114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5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Сотрудник, обладающий доступом к конфиденциальной информации</w:t>
      </w:r>
      <w:r w:rsidRPr="00114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80B">
        <w:rPr>
          <w:rFonts w:ascii="Times New Roman" w:hAnsi="Times New Roman" w:cs="Times New Roman"/>
          <w:sz w:val="24"/>
          <w:szCs w:val="24"/>
        </w:rPr>
        <w:t>—  работники</w:t>
      </w:r>
      <w:proofErr w:type="gramEnd"/>
      <w:r w:rsidRPr="0011480B">
        <w:rPr>
          <w:rFonts w:ascii="Times New Roman" w:hAnsi="Times New Roman" w:cs="Times New Roman"/>
          <w:sz w:val="24"/>
          <w:szCs w:val="24"/>
        </w:rPr>
        <w:t xml:space="preserve"> Принимающей стороны, а также лица, выполняющие работы или оказывающие услуги Принимающей стороне на основании гражданско-правовых договоров, в том числе консультанты, перечень которых указан ниже:</w:t>
      </w:r>
    </w:p>
    <w:tbl>
      <w:tblPr>
        <w:tblStyle w:val="a5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8"/>
        <w:gridCol w:w="2077"/>
        <w:gridCol w:w="2077"/>
        <w:gridCol w:w="2077"/>
      </w:tblGrid>
      <w:tr w:rsidR="00783F9D" w:rsidRPr="0011480B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896F27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0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896F27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0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896F27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0B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Идентифицирующие данные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896F27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0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783F9D" w:rsidRPr="0011480B"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783F9D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783F9D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783F9D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F9D" w:rsidRPr="0011480B" w:rsidRDefault="00783F9D" w:rsidP="00114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F9D" w:rsidRPr="0011480B" w:rsidRDefault="00783F9D" w:rsidP="0011480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783F9D" w:rsidP="0011480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Раскрывающая сторона предоставляет Конфиденциальную информацию, а Принимающая сторона принимает ее.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Принимающая сторона обязуется обеспечить охрану и конфиденциальность предоставляемой информации в соответствии с Соглашением.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lastRenderedPageBreak/>
        <w:t xml:space="preserve">Принимающая сторона обязуется не разглашать информацию, не копировать ее, обеспечить ее уничтожение и использовать для Целей, </w:t>
      </w:r>
      <w:r w:rsidRPr="0011480B">
        <w:rPr>
          <w:rFonts w:ascii="Times New Roman" w:eastAsia="Roboto" w:hAnsi="Times New Roman" w:cs="Times New Roman"/>
          <w:color w:val="3C4043"/>
          <w:sz w:val="24"/>
          <w:szCs w:val="24"/>
          <w:highlight w:val="white"/>
        </w:rPr>
        <w:t>указанных в подп. B п. 1 Соглашения</w:t>
      </w:r>
      <w:r w:rsidRPr="0011480B">
        <w:rPr>
          <w:rFonts w:ascii="Times New Roman" w:hAnsi="Times New Roman" w:cs="Times New Roman"/>
          <w:sz w:val="24"/>
          <w:szCs w:val="24"/>
        </w:rPr>
        <w:t>.</w:t>
      </w:r>
    </w:p>
    <w:p w:rsidR="00783F9D" w:rsidRPr="0011480B" w:rsidRDefault="00783F9D" w:rsidP="0011480B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ОХРАНА КОНФИДЕНЦИАЛЬНОСТИ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Принимающая сторона вправе разглашать полученную от другой Стороны Конфиденциальную информацию третьим лицам исключительно после предварительного письменного согласия другой Стороны. 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Принимающая сторона обязуется принимать все необходимые разумные меры по надлежащей защите Конфиденциальной информации. 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Принимающая сторона обязуется извещать другую Сторону о ставшем ей известном факте разглашения или угрозы разглашения, незаконном получении или незаконном использовании Конфиденциальной информации незамедлительно, но не позднее 2 рабочих дней с момента получения информации Принимающей стороной о нарушении или возможности нарушения конфиденциальности. 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Не является нарушением Соглашения разглашение Конфиденциальной информации, если это обязательно для Принимающей стороны в соответствии с законодательством РФ, решением компетентного органа власти, в том числе суда. В случае необходимости разглашения, предусмотренного настоящим пунктом, Принимающая сторона обязуется перед разглашением информации информировать о факте разглашения и перечне (составе) разглашаемой информации.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Принимающая сторона обязуется заключить с Сотрудником, обладающим доступом к конфиденциальной информации, соглашение о неразглашении на аналогичных Соглашению условиях в течение 3 рабочих дней с даты заключения Соглашения.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Принимающая сторона обязуется уничтожить информацию, в том числе копии, в течение 3 рабочих дней с даты получения требования от другой Стороны о необходимости уничтожения информации или незамедлительно с момента получения Конфиденциальной информации от неуполномоченного лица.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Принимающая сторона обязуется вести учет лиц, имеющих доступ к Конфиденциальной информации, фиксировать факты передачи информации и по требованию другой Стороны предоставлять информацию об этом, не допускать вынос сотрудниками Принимающей стороны Конфиденциальной информации как на материальных носителях, так и электронных.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В случае передачи Конфиденциальной информации Принимающей стороне посредством облачных технологий или баз данных Принимающая сторона обязуется: </w:t>
      </w:r>
    </w:p>
    <w:p w:rsidR="00783F9D" w:rsidRPr="0011480B" w:rsidRDefault="00896F27" w:rsidP="0011480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1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установить защиту от несанкционированного доступа посредством использования пароля от личной учетной записи; </w:t>
      </w:r>
    </w:p>
    <w:p w:rsidR="00783F9D" w:rsidRPr="0011480B" w:rsidRDefault="00896F27" w:rsidP="0011480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1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не сообщать третьим лицам пароль к личной учетной записи и пароль для доступа к базе данных; </w:t>
      </w:r>
    </w:p>
    <w:p w:rsidR="00783F9D" w:rsidRPr="0011480B" w:rsidRDefault="00896F27" w:rsidP="0011480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1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не передавать третьим лицам ключ шифрования; </w:t>
      </w:r>
    </w:p>
    <w:p w:rsidR="00783F9D" w:rsidRPr="0011480B" w:rsidRDefault="00896F27" w:rsidP="0011480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1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не копировать и не отправлять файлы, которые содержат сведения из базы данных, третьим лицам, а также на личные почтовые ящики работников исполнителя.</w:t>
      </w:r>
    </w:p>
    <w:p w:rsidR="00783F9D" w:rsidRPr="0011480B" w:rsidRDefault="00783F9D" w:rsidP="0011480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СРОК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Принимающая сторона обязуется соблюдать режим конфиденциальности в отношении Конфиденциальной информации в течение [</w:t>
      </w:r>
      <w:r w:rsidRPr="0011480B">
        <w:rPr>
          <w:rFonts w:ascii="Times New Roman" w:hAnsi="Times New Roman" w:cs="Times New Roman"/>
          <w:sz w:val="24"/>
          <w:szCs w:val="24"/>
          <w:highlight w:val="yellow"/>
        </w:rPr>
        <w:t>указать срок</w:t>
      </w:r>
      <w:r w:rsidRPr="0011480B">
        <w:rPr>
          <w:rFonts w:ascii="Times New Roman" w:hAnsi="Times New Roman" w:cs="Times New Roman"/>
          <w:sz w:val="24"/>
          <w:szCs w:val="24"/>
        </w:rPr>
        <w:t xml:space="preserve">] с момента заключения настоящего Соглашения. </w:t>
      </w:r>
    </w:p>
    <w:p w:rsidR="00783F9D" w:rsidRPr="0011480B" w:rsidRDefault="00783F9D" w:rsidP="0011480B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 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Каждая Сторона несет ответственность за действия (бездействие) Сотрудников, обладающих доступом к Конфиденциальной информации.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В случае разглашения Конфиденциальной информации Принимающей стороной или Сотрудником, обладающим доступом к Конфиденциальной информации, Принимающая сторона обязана уплатить Раскрывающ</w:t>
      </w:r>
      <w:r w:rsidR="0011480B">
        <w:rPr>
          <w:rFonts w:ascii="Times New Roman" w:hAnsi="Times New Roman" w:cs="Times New Roman"/>
          <w:sz w:val="24"/>
          <w:szCs w:val="24"/>
        </w:rPr>
        <w:t>ей стороне неустойку в размере понесенных убытков</w:t>
      </w:r>
      <w:r w:rsidRPr="0011480B">
        <w:rPr>
          <w:rFonts w:ascii="Times New Roman" w:hAnsi="Times New Roman" w:cs="Times New Roman"/>
          <w:sz w:val="24"/>
          <w:szCs w:val="24"/>
        </w:rPr>
        <w:t>.</w:t>
      </w:r>
    </w:p>
    <w:p w:rsidR="00783F9D" w:rsidRPr="0011480B" w:rsidRDefault="00783F9D" w:rsidP="0011480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Pr="00114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Соглашение составлено в двух оригинальных экземплярах — по одному для каждой из Сторон.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 xml:space="preserve">Соглашение регулируется и исполняется в соответствии с правом Российской Федерации. </w:t>
      </w:r>
    </w:p>
    <w:p w:rsidR="00783F9D" w:rsidRPr="0011480B" w:rsidRDefault="00896F27" w:rsidP="00114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80B">
        <w:rPr>
          <w:rFonts w:ascii="Times New Roman" w:hAnsi="Times New Roman" w:cs="Times New Roman"/>
          <w:sz w:val="24"/>
          <w:szCs w:val="24"/>
        </w:rPr>
        <w:t>Все споры сторон подлежат у</w:t>
      </w:r>
      <w:bookmarkStart w:id="0" w:name="_GoBack"/>
      <w:bookmarkEnd w:id="0"/>
      <w:r w:rsidRPr="0011480B">
        <w:rPr>
          <w:rFonts w:ascii="Times New Roman" w:hAnsi="Times New Roman" w:cs="Times New Roman"/>
          <w:sz w:val="24"/>
          <w:szCs w:val="24"/>
        </w:rPr>
        <w:t>регулированию путем переговоров. Если спор не будет урегулирован путем переговоров в течение 30 дней с даты направления претензии, такой спор подлежит разрешению в суде по месту нахождения Раскрывающей стороны.</w:t>
      </w:r>
    </w:p>
    <w:p w:rsidR="00783F9D" w:rsidRPr="0011480B" w:rsidRDefault="00783F9D" w:rsidP="0011480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783F9D" w:rsidP="0011480B">
      <w:pPr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F9D" w:rsidRPr="0011480B" w:rsidRDefault="00896F27" w:rsidP="0011480B">
      <w:pPr>
        <w:spacing w:after="20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480B">
        <w:rPr>
          <w:rFonts w:ascii="Times New Roman" w:hAnsi="Times New Roman" w:cs="Times New Roman"/>
          <w:b/>
          <w:sz w:val="24"/>
          <w:szCs w:val="24"/>
        </w:rPr>
        <w:t>Принимающая сторона</w:t>
      </w:r>
      <w:r w:rsidR="008D1ED3" w:rsidRPr="001148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Раскрывающая сторона</w:t>
      </w:r>
    </w:p>
    <w:p w:rsidR="00783F9D" w:rsidRDefault="00783F9D">
      <w:pPr>
        <w:spacing w:after="200"/>
        <w:rPr>
          <w:b/>
        </w:rPr>
      </w:pPr>
    </w:p>
    <w:p w:rsidR="008D1ED3" w:rsidRDefault="00896F27" w:rsidP="008D1ED3">
      <w:pPr>
        <w:spacing w:line="240" w:lineRule="auto"/>
      </w:pPr>
      <w:r>
        <w:t>_______________________</w:t>
      </w:r>
      <w:r>
        <w:tab/>
      </w:r>
      <w:r>
        <w:tab/>
      </w:r>
      <w:r>
        <w:tab/>
      </w:r>
      <w:r>
        <w:tab/>
      </w:r>
    </w:p>
    <w:sdt>
      <w:sdtPr>
        <w:rPr>
          <w:rFonts w:ascii="Times New Roman" w:eastAsia="Times New Roman" w:hAnsi="Times New Roman" w:cs="Times New Roman"/>
        </w:rPr>
        <w:id w:val="407042898"/>
        <w:placeholder>
          <w:docPart w:val="7657966B983F43578C986D73E27D4E87"/>
        </w:placeholder>
        <w15:color w:val="800080"/>
      </w:sdtPr>
      <w:sdtEndPr/>
      <w:sdtContent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АНО «Центр «</w:t>
          </w:r>
          <w:proofErr w:type="spellStart"/>
          <w:r>
            <w:rPr>
              <w:rFonts w:ascii="Times New Roman" w:hAnsi="Times New Roman" w:cs="Times New Roman"/>
              <w:b/>
            </w:rPr>
            <w:t>Кайдзэн</w:t>
          </w:r>
          <w:proofErr w:type="spellEnd"/>
          <w:r>
            <w:rPr>
              <w:rFonts w:ascii="Times New Roman" w:hAnsi="Times New Roman" w:cs="Times New Roman"/>
              <w:b/>
            </w:rPr>
            <w:t>»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Почтовый адрес: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614051, г. Пермь, ул. </w:t>
          </w:r>
          <w:proofErr w:type="spellStart"/>
          <w:r>
            <w:rPr>
              <w:rFonts w:ascii="Times New Roman" w:hAnsi="Times New Roman" w:cs="Times New Roman"/>
            </w:rPr>
            <w:t>Старцева</w:t>
          </w:r>
          <w:proofErr w:type="spellEnd"/>
          <w:r>
            <w:rPr>
              <w:rFonts w:ascii="Times New Roman" w:hAnsi="Times New Roman" w:cs="Times New Roman"/>
            </w:rPr>
            <w:t>, 1а, оф. 102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Тел.:8 (800) 333-22-90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ИНН 5906140038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КПП 590601001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ОГРН 1165958077603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р/с 40703810549500010604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Волго-Вятский банк ПАО Сбербанк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к/с 30101810900000000603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</w:p>
        <w:p w:rsidR="008D1ED3" w:rsidRP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БИК</w:t>
          </w:r>
          <w:r w:rsidRPr="008D1ED3">
            <w:rPr>
              <w:rFonts w:ascii="Times New Roman" w:hAnsi="Times New Roman" w:cs="Times New Roman"/>
            </w:rPr>
            <w:t xml:space="preserve"> 042202603</w:t>
          </w:r>
        </w:p>
        <w:p w:rsidR="008D1ED3" w:rsidRPr="0011480B" w:rsidRDefault="008D1ED3" w:rsidP="008D1ED3">
          <w:pPr>
            <w:spacing w:line="240" w:lineRule="auto"/>
            <w:rPr>
              <w:rFonts w:ascii="Times New Roman" w:hAnsi="Times New Roman" w:cs="Times New Roman"/>
              <w:b/>
              <w:lang w:val="en-US"/>
            </w:rPr>
          </w:pPr>
          <w:proofErr w:type="gramStart"/>
          <w:r>
            <w:rPr>
              <w:rFonts w:ascii="Times New Roman" w:hAnsi="Times New Roman" w:cs="Times New Roman"/>
              <w:lang w:val="en-US"/>
            </w:rPr>
            <w:t>e</w:t>
          </w:r>
          <w:r w:rsidRPr="0011480B">
            <w:rPr>
              <w:rFonts w:ascii="Times New Roman" w:hAnsi="Times New Roman" w:cs="Times New Roman"/>
              <w:lang w:val="en-US"/>
            </w:rPr>
            <w:t>-</w:t>
          </w:r>
          <w:r>
            <w:rPr>
              <w:rFonts w:ascii="Times New Roman" w:hAnsi="Times New Roman" w:cs="Times New Roman"/>
              <w:lang w:val="en-US"/>
            </w:rPr>
            <w:t>mail</w:t>
          </w:r>
          <w:proofErr w:type="gramEnd"/>
          <w:r w:rsidRPr="0011480B">
            <w:rPr>
              <w:rFonts w:ascii="Times New Roman" w:hAnsi="Times New Roman" w:cs="Times New Roman"/>
              <w:lang w:val="en-US"/>
            </w:rPr>
            <w:t xml:space="preserve">: </w:t>
          </w:r>
          <w:r>
            <w:rPr>
              <w:rFonts w:ascii="Times New Roman" w:hAnsi="Times New Roman" w:cs="Times New Roman"/>
              <w:lang w:val="en-US"/>
            </w:rPr>
            <w:t>tps</w:t>
          </w:r>
          <w:r w:rsidRPr="0011480B">
            <w:rPr>
              <w:rFonts w:ascii="Times New Roman" w:hAnsi="Times New Roman" w:cs="Times New Roman"/>
              <w:lang w:val="en-US"/>
            </w:rPr>
            <w:t>@</w:t>
          </w:r>
          <w:r>
            <w:rPr>
              <w:rFonts w:ascii="Times New Roman" w:hAnsi="Times New Roman" w:cs="Times New Roman"/>
              <w:lang w:val="en-US"/>
            </w:rPr>
            <w:t>center</w:t>
          </w:r>
          <w:r w:rsidRPr="0011480B">
            <w:rPr>
              <w:rFonts w:ascii="Times New Roman" w:hAnsi="Times New Roman" w:cs="Times New Roman"/>
              <w:lang w:val="en-US"/>
            </w:rPr>
            <w:t>-</w:t>
          </w:r>
          <w:r>
            <w:rPr>
              <w:rFonts w:ascii="Times New Roman" w:hAnsi="Times New Roman" w:cs="Times New Roman"/>
              <w:lang w:val="en-US"/>
            </w:rPr>
            <w:t>kaizen</w:t>
          </w:r>
          <w:r w:rsidRPr="0011480B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ru</w:t>
          </w:r>
        </w:p>
        <w:p w:rsidR="008D1ED3" w:rsidRPr="0011480B" w:rsidRDefault="008D1ED3" w:rsidP="008D1ED3">
          <w:pPr>
            <w:spacing w:line="240" w:lineRule="auto"/>
            <w:rPr>
              <w:rFonts w:ascii="Times New Roman" w:hAnsi="Times New Roman" w:cs="Times New Roman"/>
              <w:b/>
              <w:lang w:val="en-US"/>
            </w:rPr>
          </w:pP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Исполнитель: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Директор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АНО «Центр «</w:t>
          </w:r>
          <w:proofErr w:type="spellStart"/>
          <w:r>
            <w:rPr>
              <w:rFonts w:ascii="Times New Roman" w:hAnsi="Times New Roman" w:cs="Times New Roman"/>
            </w:rPr>
            <w:t>Кайдзэн</w:t>
          </w:r>
          <w:proofErr w:type="spellEnd"/>
          <w:r>
            <w:rPr>
              <w:rFonts w:ascii="Times New Roman" w:hAnsi="Times New Roman" w:cs="Times New Roman"/>
            </w:rPr>
            <w:t>»</w:t>
          </w: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</w:p>
        <w:p w:rsidR="008D1ED3" w:rsidRDefault="008D1ED3" w:rsidP="008D1ED3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_________________ / А.Г. Суханов/</w:t>
          </w:r>
        </w:p>
        <w:p w:rsidR="008D1ED3" w:rsidRDefault="008D1ED3" w:rsidP="008D1ED3">
          <w:pPr>
            <w:tabs>
              <w:tab w:val="left" w:pos="2742"/>
            </w:tabs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М.П.</w:t>
          </w:r>
        </w:p>
        <w:p w:rsidR="008D1ED3" w:rsidRDefault="0011480B" w:rsidP="008D1ED3">
          <w:pPr>
            <w:tabs>
              <w:tab w:val="left" w:pos="2742"/>
            </w:tabs>
            <w:spacing w:line="240" w:lineRule="auto"/>
            <w:rPr>
              <w:rFonts w:ascii="Times New Roman" w:eastAsia="Times New Roman" w:hAnsi="Times New Roman" w:cs="Times New Roman"/>
            </w:rPr>
          </w:pPr>
        </w:p>
      </w:sdtContent>
    </w:sdt>
    <w:p w:rsidR="00783F9D" w:rsidRDefault="00783F9D">
      <w:pPr>
        <w:spacing w:after="200"/>
      </w:pPr>
    </w:p>
    <w:p w:rsidR="00783F9D" w:rsidRDefault="00896F27">
      <w:pPr>
        <w:spacing w:after="200"/>
      </w:pPr>
      <w:r>
        <w:lastRenderedPageBreak/>
        <w:tab/>
      </w:r>
      <w:r>
        <w:tab/>
      </w:r>
      <w:r>
        <w:tab/>
      </w:r>
      <w:r>
        <w:br/>
      </w:r>
    </w:p>
    <w:sectPr w:rsidR="00783F9D" w:rsidSect="0011480B">
      <w:pgSz w:w="11909" w:h="16834"/>
      <w:pgMar w:top="1440" w:right="1440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6E3E"/>
    <w:multiLevelType w:val="multilevel"/>
    <w:tmpl w:val="3FDC348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724759"/>
    <w:multiLevelType w:val="multilevel"/>
    <w:tmpl w:val="C6DA49C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9A4379"/>
    <w:multiLevelType w:val="multilevel"/>
    <w:tmpl w:val="7D36272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9D"/>
    <w:rsid w:val="0011480B"/>
    <w:rsid w:val="001F6838"/>
    <w:rsid w:val="00783F9D"/>
    <w:rsid w:val="00896F27"/>
    <w:rsid w:val="008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9BB95-9D81-496F-83D4-4B564E1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57966B983F43578C986D73E27D4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7A857-6E51-4024-A1DB-811FC20AFAD3}"/>
      </w:docPartPr>
      <w:docPartBody>
        <w:p w:rsidR="009A48A4" w:rsidRDefault="003C531F" w:rsidP="003C531F">
          <w:pPr>
            <w:pStyle w:val="7657966B983F43578C986D73E27D4E87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CE45893128E44B2CA8A8C625CA91F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2890-0BE5-425B-924C-2D194DFB668B}"/>
      </w:docPartPr>
      <w:docPartBody>
        <w:p w:rsidR="00000000" w:rsidRDefault="009A48A4" w:rsidP="009A48A4">
          <w:pPr>
            <w:pStyle w:val="CE45893128E44B2CA8A8C625CA91FDA9"/>
          </w:pPr>
          <w:r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1F"/>
    <w:rsid w:val="003C531F"/>
    <w:rsid w:val="008A4C64"/>
    <w:rsid w:val="009A48A4"/>
    <w:rsid w:val="00E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48A4"/>
    <w:rPr>
      <w:color w:val="808080"/>
    </w:rPr>
  </w:style>
  <w:style w:type="paragraph" w:customStyle="1" w:styleId="7657966B983F43578C986D73E27D4E87">
    <w:name w:val="7657966B983F43578C986D73E27D4E87"/>
    <w:rsid w:val="003C531F"/>
  </w:style>
  <w:style w:type="paragraph" w:customStyle="1" w:styleId="CE45893128E44B2CA8A8C625CA91FDA9">
    <w:name w:val="CE45893128E44B2CA8A8C625CA91FDA9"/>
    <w:rsid w:val="009A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2025-07-29T11:15:00Z</dcterms:created>
  <dcterms:modified xsi:type="dcterms:W3CDTF">2025-08-01T10:32:00Z</dcterms:modified>
</cp:coreProperties>
</file>