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2B" w:rsidRPr="00132D2B" w:rsidRDefault="00132D2B" w:rsidP="00132D2B">
      <w:pPr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</w:pPr>
      <w:bookmarkStart w:id="0" w:name="_GoBack"/>
      <w:bookmarkEnd w:id="0"/>
      <w:r w:rsidRPr="00132D2B"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  <w:t>Образование</w:t>
      </w: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</w:t>
      </w:r>
      <w:r>
        <w:rPr>
          <w:rFonts w:ascii="Open Sans" w:hAnsi="Open Sans"/>
          <w:color w:val="02344F"/>
          <w:sz w:val="21"/>
          <w:szCs w:val="21"/>
        </w:rPr>
        <w:t xml:space="preserve"> </w:t>
      </w: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на основании действующей лицензии №5945 от 19 октября 2017 г. осуществляет образовательную деятельность.</w:t>
      </w: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DF319F">
        <w:rPr>
          <w:rFonts w:ascii="Arial" w:eastAsiaTheme="majorEastAsia" w:hAnsi="Arial" w:cs="Arial"/>
          <w:color w:val="000000"/>
          <w:sz w:val="32"/>
          <w:szCs w:val="32"/>
          <w:lang w:eastAsia="en-US"/>
        </w:rPr>
        <w:t>Реализуемые уровни образования</w:t>
      </w: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: дополнительное образование.</w:t>
      </w: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DF319F">
        <w:rPr>
          <w:rFonts w:ascii="Arial" w:eastAsiaTheme="majorEastAsia" w:hAnsi="Arial" w:cs="Arial"/>
          <w:color w:val="000000"/>
          <w:sz w:val="32"/>
          <w:szCs w:val="32"/>
          <w:lang w:eastAsia="en-US"/>
        </w:rPr>
        <w:t>Форма обучения: </w:t>
      </w: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очная.</w:t>
      </w: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DF319F">
        <w:rPr>
          <w:rFonts w:ascii="Arial" w:eastAsiaTheme="majorEastAsia" w:hAnsi="Arial" w:cs="Arial"/>
          <w:color w:val="000000"/>
          <w:sz w:val="32"/>
          <w:szCs w:val="32"/>
          <w:lang w:eastAsia="en-US"/>
        </w:rPr>
        <w:t xml:space="preserve">Нормативные сроки </w:t>
      </w:r>
      <w:proofErr w:type="gramStart"/>
      <w:r w:rsidRPr="00DF319F">
        <w:rPr>
          <w:rFonts w:ascii="Arial" w:eastAsiaTheme="majorEastAsia" w:hAnsi="Arial" w:cs="Arial"/>
          <w:color w:val="000000"/>
          <w:sz w:val="32"/>
          <w:szCs w:val="32"/>
          <w:lang w:eastAsia="en-US"/>
        </w:rPr>
        <w:t>обучения:</w:t>
      </w: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br/>
        <w:t>Нормативные</w:t>
      </w:r>
      <w:proofErr w:type="gramEnd"/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сроки обучения определяются объемом ДПП (ПП и ПК): от 16 до 144 часов – для курсов повышения квалификации, от 250 до 1310 часов – для курсов профессиональной переподготовки. Нормативные сроки освоения программ повышения квалификаци</w:t>
      </w:r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и могут составлять до 2 месяцев</w:t>
      </w: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.</w:t>
      </w: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DF319F">
        <w:rPr>
          <w:rFonts w:ascii="Arial" w:eastAsiaTheme="majorEastAsia" w:hAnsi="Arial" w:cs="Arial"/>
          <w:color w:val="000000"/>
          <w:sz w:val="32"/>
          <w:szCs w:val="32"/>
          <w:lang w:eastAsia="en-US"/>
        </w:rPr>
        <w:t>Язык обучения:</w:t>
      </w: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 русский.</w:t>
      </w: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DF319F">
        <w:rPr>
          <w:rFonts w:ascii="Arial" w:eastAsiaTheme="majorEastAsia" w:hAnsi="Arial" w:cs="Arial"/>
          <w:color w:val="000000"/>
          <w:sz w:val="32"/>
          <w:szCs w:val="32"/>
          <w:lang w:eastAsia="en-US"/>
        </w:rPr>
        <w:t xml:space="preserve">Описание образовательной </w:t>
      </w:r>
      <w:proofErr w:type="gramStart"/>
      <w:r w:rsidRPr="00DF319F">
        <w:rPr>
          <w:rFonts w:ascii="Arial" w:eastAsiaTheme="majorEastAsia" w:hAnsi="Arial" w:cs="Arial"/>
          <w:color w:val="000000"/>
          <w:sz w:val="32"/>
          <w:szCs w:val="32"/>
          <w:lang w:eastAsia="en-US"/>
        </w:rPr>
        <w:t>программы:</w:t>
      </w: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br/>
        <w:t>Образовательная</w:t>
      </w:r>
      <w:proofErr w:type="gramEnd"/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программа (далее – ОП) 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</w:t>
      </w:r>
      <w:r>
        <w:rPr>
          <w:rFonts w:ascii="Open Sans" w:hAnsi="Open Sans"/>
          <w:color w:val="02344F"/>
          <w:sz w:val="21"/>
          <w:szCs w:val="21"/>
        </w:rPr>
        <w:t xml:space="preserve"> </w:t>
      </w: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- это комплекс </w:t>
      </w:r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тренингов и мастер-классов, разработанных нашими экспертами с учетом особенностей российского бизнеса, которые </w:t>
      </w:r>
      <w:r>
        <w:rPr>
          <w:rFonts w:ascii="Arial" w:hAnsi="Arial" w:cs="Arial"/>
          <w:color w:val="000000"/>
        </w:rPr>
        <w:t>позволяют освоить технологии бережливого производства, а также эффективного управления проектами и бизнес-процессами.</w:t>
      </w: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DF319F">
        <w:rPr>
          <w:rFonts w:ascii="Arial" w:eastAsiaTheme="majorEastAsia" w:hAnsi="Arial" w:cs="Arial"/>
          <w:color w:val="000000"/>
          <w:sz w:val="32"/>
          <w:szCs w:val="32"/>
          <w:lang w:eastAsia="en-US"/>
        </w:rPr>
        <w:t>Календарные графики обучения.</w:t>
      </w: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br/>
      </w:r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Календарный план-график на 2021 год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- ссылка</w:t>
      </w: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9621A7">
        <w:rPr>
          <w:rFonts w:ascii="Arial" w:eastAsiaTheme="majorEastAsia" w:hAnsi="Arial" w:cs="Arial"/>
          <w:color w:val="000000"/>
          <w:sz w:val="32"/>
          <w:szCs w:val="32"/>
          <w:lang w:eastAsia="en-US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лиц.</w:t>
      </w:r>
      <w:r w:rsidRPr="009621A7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br/>
      </w: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Обучающиеся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</w:t>
      </w:r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при</w:t>
      </w: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сутствуют. Численность обучающихся по договорам об образовании за счет средств физических и (или) юридических лиц не превышает число вакантных мест.</w:t>
      </w: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9621A7">
        <w:rPr>
          <w:rFonts w:ascii="Arial" w:eastAsiaTheme="majorEastAsia" w:hAnsi="Arial" w:cs="Arial"/>
          <w:color w:val="000000"/>
          <w:sz w:val="32"/>
          <w:szCs w:val="32"/>
          <w:lang w:eastAsia="en-US"/>
        </w:rPr>
        <w:t xml:space="preserve"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</w:t>
      </w:r>
      <w:r w:rsidRPr="009621A7">
        <w:rPr>
          <w:rFonts w:ascii="Arial" w:eastAsiaTheme="majorEastAsia" w:hAnsi="Arial" w:cs="Arial"/>
          <w:color w:val="000000"/>
          <w:sz w:val="32"/>
          <w:szCs w:val="32"/>
          <w:lang w:eastAsia="en-US"/>
        </w:rPr>
        <w:lastRenderedPageBreak/>
        <w:t>Российской Федерации, местных бюджетов и по договорам об образовании за счет средств физических и (или) юридических лиц.</w:t>
      </w:r>
      <w:r w:rsidRPr="009621A7">
        <w:rPr>
          <w:rFonts w:ascii="Arial" w:eastAsiaTheme="majorEastAsia" w:hAnsi="Arial" w:cs="Arial"/>
          <w:color w:val="000000"/>
          <w:sz w:val="32"/>
          <w:szCs w:val="32"/>
          <w:lang w:eastAsia="en-US"/>
        </w:rPr>
        <w:br/>
      </w: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Обучающиеся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</w:t>
      </w:r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при</w:t>
      </w: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сутствуют. Численность обучающихся по договорам об образовании за счет средств физических и (или) юридических лиц не превышает число вакантных мест.</w:t>
      </w:r>
    </w:p>
    <w:p w:rsidR="00132D2B" w:rsidRPr="009621A7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Для каждой образовательной программы на официальном сайте 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</w:t>
      </w: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в рамках индивидуальной интернет – страницы курса представлена информация:</w:t>
      </w: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о нормативных сроках обучения;</w:t>
      </w: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об описании образовательной программы с приложением ее копии;</w:t>
      </w: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об учебном плане с приложением его копии;</w:t>
      </w: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о форме обучения;</w:t>
      </w: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о присваиваемой квалификации;</w:t>
      </w: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о стоимости обучения;</w:t>
      </w: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контактная информация;</w:t>
      </w: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DF319F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образцы выдаваемых по окончании обучения документов.</w:t>
      </w: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</w:p>
    <w:p w:rsidR="00132D2B" w:rsidRPr="00DF319F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Перечень реализуемых образовательных программ повышения квалификации </w:t>
      </w:r>
    </w:p>
    <w:p w:rsidR="00132D2B" w:rsidRPr="008358FE" w:rsidRDefault="00132D2B" w:rsidP="00132D2B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hyperlink r:id="rId5" w:tgtFrame="_blank" w:history="1">
        <w:r w:rsidRPr="00DF319F">
          <w:rPr>
            <w:rFonts w:ascii="Arial" w:eastAsiaTheme="majorEastAsia" w:hAnsi="Arial" w:cs="Arial"/>
            <w:color w:val="000000"/>
            <w:sz w:val="26"/>
            <w:szCs w:val="26"/>
            <w:lang w:eastAsia="en-US"/>
          </w:rPr>
          <w:t>Лицензия на осуществление образовательной деятельности</w:t>
        </w:r>
      </w:hyperlink>
    </w:p>
    <w:p w:rsidR="00291F2B" w:rsidRDefault="00291F2B" w:rsidP="00291F2B">
      <w:pPr>
        <w:spacing w:after="0" w:line="240" w:lineRule="auto"/>
        <w:outlineLvl w:val="0"/>
        <w:rPr>
          <w:rFonts w:ascii="Open Sans" w:eastAsia="Times New Roman" w:hAnsi="Open Sans" w:cs="Times New Roman"/>
          <w:color w:val="02344F"/>
          <w:sz w:val="21"/>
          <w:szCs w:val="21"/>
          <w:lang w:eastAsia="ru-RU"/>
        </w:rPr>
      </w:pPr>
    </w:p>
    <w:p w:rsidR="00291F2B" w:rsidRDefault="00291F2B" w:rsidP="00291F2B">
      <w:pPr>
        <w:spacing w:after="0" w:line="240" w:lineRule="auto"/>
        <w:outlineLvl w:val="0"/>
        <w:rPr>
          <w:rFonts w:ascii="Open Sans" w:eastAsia="Times New Roman" w:hAnsi="Open Sans" w:cs="Times New Roman"/>
          <w:color w:val="02344F"/>
          <w:sz w:val="21"/>
          <w:szCs w:val="21"/>
          <w:lang w:eastAsia="ru-RU"/>
        </w:rPr>
      </w:pPr>
    </w:p>
    <w:p w:rsidR="00291F2B" w:rsidRDefault="00291F2B" w:rsidP="00291F2B">
      <w:pPr>
        <w:spacing w:after="0" w:line="240" w:lineRule="auto"/>
        <w:outlineLvl w:val="0"/>
        <w:rPr>
          <w:rFonts w:ascii="Open Sans" w:eastAsia="Times New Roman" w:hAnsi="Open Sans" w:cs="Times New Roman"/>
          <w:color w:val="02344F"/>
          <w:sz w:val="21"/>
          <w:szCs w:val="21"/>
          <w:lang w:eastAsia="ru-RU"/>
        </w:rPr>
      </w:pPr>
    </w:p>
    <w:p w:rsidR="00291F2B" w:rsidRDefault="00291F2B" w:rsidP="00291F2B">
      <w:pPr>
        <w:spacing w:after="0" w:line="240" w:lineRule="auto"/>
        <w:outlineLvl w:val="0"/>
        <w:rPr>
          <w:rFonts w:ascii="Open Sans" w:eastAsia="Times New Roman" w:hAnsi="Open Sans" w:cs="Times New Roman"/>
          <w:color w:val="02344F"/>
          <w:sz w:val="21"/>
          <w:szCs w:val="21"/>
          <w:lang w:eastAsia="ru-RU"/>
        </w:rPr>
      </w:pPr>
    </w:p>
    <w:p w:rsidR="00C9434B" w:rsidRDefault="00C9434B"/>
    <w:sectPr w:rsidR="00C9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96593"/>
    <w:multiLevelType w:val="hybridMultilevel"/>
    <w:tmpl w:val="9EF0F866"/>
    <w:lvl w:ilvl="0" w:tplc="D068CF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F"/>
    <w:rsid w:val="00132D2B"/>
    <w:rsid w:val="00255F4F"/>
    <w:rsid w:val="00291F2B"/>
    <w:rsid w:val="00C9434B"/>
    <w:rsid w:val="00E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EB73-E4E8-4E36-98DD-8C09A26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4F"/>
  </w:style>
  <w:style w:type="paragraph" w:styleId="2">
    <w:name w:val="heading 2"/>
    <w:basedOn w:val="a"/>
    <w:next w:val="a"/>
    <w:link w:val="20"/>
    <w:uiPriority w:val="9"/>
    <w:unhideWhenUsed/>
    <w:qFormat/>
    <w:rsid w:val="00291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91F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91F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29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1F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9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region.ru/sveden/document/license_ano_dpo_09.11.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2021-09-28T13:52:00Z</dcterms:created>
  <dcterms:modified xsi:type="dcterms:W3CDTF">2021-09-28T13:55:00Z</dcterms:modified>
</cp:coreProperties>
</file>